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3 do Regulaminu rekrutacji i uczestnictwa w projekcie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w:t>
      </w:r>
      <w:r w:rsidDel="00000000" w:rsidR="00000000" w:rsidRPr="00000000">
        <w:rPr>
          <w:rtl w:val="0"/>
        </w:rPr>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5985"/>
        <w:tblGridChange w:id="0">
          <w:tblGrid>
            <w:gridCol w:w="3227"/>
            <w:gridCol w:w="5985"/>
          </w:tblGrid>
        </w:tblGridChange>
      </w:tblGrid>
      <w:tr>
        <w:trPr>
          <w:cantSplit w:val="0"/>
          <w:trHeight w:val="680" w:hRule="atLeast"/>
          <w:tblHeader w:val="0"/>
        </w:trPr>
        <w:tc>
          <w:tcPr>
            <w:shd w:fill="d9d9d9" w:val="cle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ADRES ZAMIESZKANIA</w:t>
            </w:r>
            <w:r w:rsidDel="00000000" w:rsidR="00000000" w:rsidRPr="00000000">
              <w:rPr>
                <w:rtl w:val="0"/>
              </w:rPr>
            </w:r>
          </w:p>
        </w:tc>
        <w:tc>
          <w:tcP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NR PESEL</w:t>
            </w:r>
            <w:r w:rsidDel="00000000" w:rsidR="00000000" w:rsidRPr="00000000">
              <w:rPr>
                <w:rtl w:val="0"/>
              </w:rPr>
            </w:r>
          </w:p>
        </w:tc>
        <w:tc>
          <w:tcP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Oświadczam, że posiadam status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osoby ubogiej pracującej</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oraz:</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(proszę zaznaczyć X we właściwym miejscu i wpisać kwotę)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 gospodarstwie domowym</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 którym dochody (z wyłączeniem transferów społecznych</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przypadające na jedną osobę nie przekraczają kryteriów dochodowych ustalonych w oparciu o próg interwencji socjalnej (w 2024 r próg wynosi: 776,00 zł dla osoby samotnie gospodarującej, 600,00 zł dla osoby w rodzinie, w 2025 r. próg wynosi: 1010,00 zł dla osoby samotnie gospodarującej, 823,00 zł dla osoby w rodzinie) w miesiącu poprzedzającym przystąpienie do projektu, a ich wysokość wynosi łącznie ………………………………....... zł.</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moje dochody podlegające opodatkowaniu w ujęciu miesięcznym nie przekraczają minimalnego wynagrodzenia za pracę</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 miesiącu poprzedzającym przystąpienie do projektu,  tj. wynoszą łącznie ……………………………………………….. zł.</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88.0" w:type="dxa"/>
        <w:jc w:val="left"/>
        <w:tblInd w:w="-108.0" w:type="dxa"/>
        <w:tblLayout w:type="fixed"/>
        <w:tblLook w:val="0000"/>
      </w:tblPr>
      <w:tblGrid>
        <w:gridCol w:w="4672"/>
        <w:gridCol w:w="4616"/>
        <w:tblGridChange w:id="0">
          <w:tblGrid>
            <w:gridCol w:w="4672"/>
            <w:gridCol w:w="4616"/>
          </w:tblGrid>
        </w:tblGridChange>
      </w:tblGrid>
      <w:tr>
        <w:trPr>
          <w:cantSplit w:val="0"/>
          <w:trHeight w:val="907" w:hRule="atLeast"/>
          <w:tblHeader w:val="0"/>
        </w:trPr>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Miejscowość i data</w:t>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Czytelny podpis osoby składającej oświadczenie</w:t>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pgSz w:h="16838" w:w="11906" w:orient="portrait"/>
      <w:pgMar w:bottom="1417" w:top="1897" w:left="1417" w:right="1417" w:header="284" w:footer="2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after="240" w:before="240" w:lineRule="auto"/>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Gospodarstwo domowe - zespół osób zamieszkujących razem i wspólnie utrzymujących się. Osoby samotne utrzymujące się samodzielnie tworzą jednoosobowe gospodarstwa domowe</w:t>
      </w:r>
    </w:p>
  </w:footnote>
  <w:footnote w:id="1">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Transfery społeczne - bieżące przelewy otrzymywane przez gospodarstwa domowe podczas okresu odniesienia dochodu, przeznaczone do zmniejszenia ciężarów finansowych związanych z wieloma nieprzewidywalnymi sytuacjami lub potrzebami, dokonywane w ramach wspólnie organizowanych systemów lub poza tymi systemami przez organy rządowe lub instytucje typu non-profit świadczące usługi na rzecz gospodarstw domowych (NPISH). W ramach świadczeń społecznych można wyodrębnić następujące grupy: świadczenia dotyczące rodziny, dodatki mieszkaniowe, świadczenia dla bezrobotnych, świadczenia związane z wiekiem, renty rodzinne, świadczenia chorobowe, świadczenia dla osób z niepełnosprawnościami, stypendia, świadczenia dotyczące wykluczenia społecznego.</w:t>
      </w:r>
    </w:p>
  </w:footnote>
  <w:footnote w:id="2">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Wynagrodzenie, o którym mowa w ustawie z dnia 10 października 2002 r. o minimalnym wynagrodzeniu za pracę (Dz. U. z 2020 r. poz. 2207, z późn. zm.) oraz wydawanym na podstawie tej ustawy rozporządzeniu Rady Ministrów w sprawie wysokości minimalnego wynagrodzenia za pracę oraz wysokości minimalnej stawki godzinowej</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mEQaSZVGm20b5BWlnBcg+kgWiw==">CgMxLjA4AHIhMXJDSjJhWXl1UFdhYWtaMkxtakh2TUNjN0hHR2ROeldG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2024-09-25T07:00:00Z</dcterms:created>
  <dc:creator>Martyna Chyla</dc:creator>
</cp:coreProperties>
</file>